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21"/>
        </w:rPr>
      </w:pPr>
      <w:r>
        <w:rPr>
          <w:rFonts w:hint="eastAsia" w:ascii="宋体" w:hAnsi="宋体"/>
          <w:b/>
          <w:sz w:val="36"/>
          <w:szCs w:val="36"/>
        </w:rPr>
        <w:t>司法鉴定委托书</w:t>
      </w:r>
    </w:p>
    <w:p>
      <w:pPr>
        <w:pStyle w:val="5"/>
        <w:widowControl/>
        <w:rPr>
          <w:rFonts w:hint="default"/>
          <w:b/>
          <w:bCs/>
          <w:sz w:val="20"/>
          <w:szCs w:val="20"/>
        </w:rPr>
      </w:pPr>
      <w:r>
        <w:rPr>
          <w:szCs w:val="21"/>
        </w:rPr>
        <w:t xml:space="preserve">案件编号：浙千司鉴中心[    ]病鉴字第     号           </w:t>
      </w:r>
      <w:r>
        <w:rPr>
          <w:rFonts w:cs="宋体"/>
          <w:b/>
          <w:bCs/>
          <w:sz w:val="20"/>
          <w:szCs w:val="20"/>
        </w:rPr>
        <w:t>预约号：</w:t>
      </w:r>
      <w:r>
        <w:rPr>
          <w:szCs w:val="21"/>
        </w:rPr>
        <w:t xml:space="preserve">   </w:t>
      </w:r>
      <w:r>
        <w:rPr>
          <w:rFonts w:cs="宋体"/>
          <w:sz w:val="18"/>
          <w:szCs w:val="18"/>
        </w:rPr>
        <w:t xml:space="preserve">    </w:t>
      </w:r>
      <w:r>
        <w:rPr>
          <w:rFonts w:cs="宋体"/>
          <w:b/>
          <w:bCs/>
          <w:sz w:val="20"/>
          <w:szCs w:val="20"/>
          <w:u w:val="single"/>
        </w:rPr>
        <w:t xml:space="preserve"> </w:t>
      </w:r>
    </w:p>
    <w:tbl>
      <w:tblPr>
        <w:tblStyle w:val="8"/>
        <w:tblW w:w="10105" w:type="dxa"/>
        <w:tblInd w:w="-3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51"/>
        <w:gridCol w:w="2000"/>
        <w:gridCol w:w="695"/>
        <w:gridCol w:w="453"/>
        <w:gridCol w:w="823"/>
        <w:gridCol w:w="676"/>
        <w:gridCol w:w="30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 托 人(方)</w:t>
            </w:r>
          </w:p>
        </w:tc>
        <w:tc>
          <w:tcPr>
            <w:tcW w:w="379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（电话）</w:t>
            </w:r>
          </w:p>
        </w:tc>
        <w:tc>
          <w:tcPr>
            <w:tcW w:w="304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  法  鉴  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        构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机构名称：浙江千麦司法鉴定中心                  许可证号：330114070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址：杭州市余杭区余杭街道华一路2号4号楼  邮    编：311121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人：   　　　                             联系电话：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0571-85852181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是否属于重鉴</w:t>
            </w:r>
          </w:p>
        </w:tc>
        <w:tc>
          <w:tcPr>
            <w:tcW w:w="33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□否  □是 </w:t>
            </w:r>
            <w:r>
              <w:rPr>
                <w:rFonts w:hint="eastAsia" w:ascii="Calibri" w:hAnsi="Calibri"/>
                <w:sz w:val="20"/>
                <w:szCs w:val="20"/>
              </w:rPr>
              <w:t>（第</w:t>
            </w:r>
            <w:r>
              <w:rPr>
                <w:rFonts w:hint="eastAsia" w:ascii="Calibri" w:hAnsi="Calibri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Calibri" w:hAnsi="Calibri"/>
                <w:sz w:val="20"/>
                <w:szCs w:val="20"/>
              </w:rPr>
              <w:t>次鉴定）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鉴定用途</w:t>
            </w:r>
          </w:p>
        </w:tc>
        <w:tc>
          <w:tcPr>
            <w:tcW w:w="372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 w:val="20"/>
                <w:szCs w:val="20"/>
              </w:rPr>
              <w:t xml:space="preserve">诉讼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 w:val="20"/>
                <w:szCs w:val="20"/>
              </w:rPr>
              <w:t>调解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委托鉴定事项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tbl>
            <w:tblPr>
              <w:tblStyle w:val="8"/>
              <w:tblW w:w="813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3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02" w:hRule="atLeast"/>
              </w:trPr>
              <w:tc>
                <w:tcPr>
                  <w:tcW w:w="8130" w:type="dxa"/>
                  <w:tcBorders>
                    <w:top w:val="nil"/>
                    <w:lef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□硅藻检验    □病理组织学诊断    □死亡原因鉴定    □致死物鉴定           □生前伤与死后伤鉴定    □解剖+组织切片+毒物    □尸表检验    □死亡方式鉴定</w:t>
                  </w:r>
                </w:p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u w:val="single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□死亡时间鉴定    □死亡原因文证审查    □其他</w:t>
                  </w:r>
                  <w:r>
                    <w:rPr>
                      <w:rFonts w:hint="eastAsia" w:ascii="宋体" w:hAnsi="宋体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</w:tbl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使用标准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tbl>
            <w:tblPr>
              <w:tblStyle w:val="8"/>
              <w:tblW w:w="813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65"/>
              <w:gridCol w:w="406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□GAT147-1996法医学尸体解剖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□GAT149-1996法医学尸表检验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0" name="divBody_UCContractOneSampleDiv_Contract_46_KindItemList_0_3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divBody_UCContractOneSampleDiv_Contract_46_KindItemList_0_3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GAT170-1997猝死尸体的检验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1" name="divBody_UCContractOneSampleDiv_Contract_46_KindItemList_0_4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divBody_UCContractOneSampleDiv_Contract_46_KindItemList_0_4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GAT813-2008人体组织器官中硅藻硝酸破机法检验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2" name="divBody_UCContractOneSampleDiv_Contract_46_KindItemList_0_5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divBody_UCContractOneSampleDiv_Contract_46_KindItemList_0_5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SFZ JD0101002-2015法医学尸体解剖规范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3" name="divBody_UCContractOneSampleDiv_Contract_46_KindItemList_0_6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divBody_UCContractOneSampleDiv_Contract_46_KindItemList_0_6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道路交通事故尸体检验【GA 268-2009】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4" name="divBody_UCContractOneSampleDiv_Contract_46_KindItemList_0_7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divBody_UCContractOneSampleDiv_Contract_46_KindItemList_0_7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 168—1997 机械性损伤尸体检验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5" name="divBody_UCContractOneSampleDiv_Contract_46_KindItemList_0_8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divBody_UCContractOneSampleDiv_Contract_46_KindItemList_0_8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 150—1996 机械性窒息尸体检验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6" name="divBody_UCContractOneSampleDiv_Contract_46_KindItemList_0_9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divBody_UCContractOneSampleDiv_Contract_46_KindItemList_0_9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 151—1996 新生儿尸体检验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7" name="divBody_UCContractOneSampleDiv_Contract_46_KindItemList_0_10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divBody_UCContractOneSampleDiv_Contract_46_KindItemList_0_10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SF/Z JD0101001-2016《道路交通事故涉案者交通行为方式鉴定》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drawing>
                      <wp:inline distT="0" distB="0" distL="0" distR="0">
                        <wp:extent cx="112395" cy="112395"/>
                        <wp:effectExtent l="19050" t="0" r="1905" b="0"/>
                        <wp:docPr id="38" name="divBody_UCContractOneSampleDiv_Contract_46_KindItemList_0_11" descr="http://192.168.16.166/TyanLims/Outside/Images/checkbox_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divBody_UCContractOneSampleDiv_Contract_46_KindItemList_0_11" descr="http://192.168.16.166/TyanLims/Outside/Images/checkbox_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/>
                      <w:szCs w:val="21"/>
                    </w:rPr>
                    <w:t>GAT 167—1997 中毒尸体检验规范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GA/T148-1996《法医病理学检材的提取、固定、包装及送检方法》</w:t>
                  </w:r>
                </w:p>
              </w:tc>
            </w:tr>
          </w:tbl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s2051" o:spid="_x0000_s2051" o:spt="32" type="#_x0000_t32" style="position:absolute;left:0pt;margin-left:34.45pt;margin-top:13.25pt;height:0pt;width:126.3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Cs w:val="21"/>
              </w:rPr>
              <w:t xml:space="preserve">□其他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与鉴定有关</w:t>
            </w:r>
          </w:p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的基本信息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ind w:firstLine="105" w:firstLineChar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被鉴定人姓名：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；性别：□男□女；身份证号：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4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基本案情：</w:t>
            </w:r>
          </w:p>
          <w:p>
            <w:pPr>
              <w:spacing w:line="340" w:lineRule="exact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鉴定材料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rPr>
                <w:rFonts w:asciiTheme="majorHAnsi" w:hAnsiTheme="majorHAnsi"/>
                <w:szCs w:val="21"/>
                <w:u w:val="single"/>
              </w:rPr>
            </w:pPr>
            <w:r>
              <w:rPr>
                <w:rFonts w:hint="eastAsia" w:asciiTheme="majorHAnsi" w:hAnsiTheme="majorHAnsi"/>
                <w:szCs w:val="21"/>
                <w:u w:val="single"/>
              </w:rPr>
              <w:t xml:space="preserve">   </w:t>
            </w:r>
          </w:p>
          <w:p>
            <w:pPr>
              <w:spacing w:line="340" w:lineRule="exact"/>
              <w:rPr>
                <w:rFonts w:asciiTheme="majorHAnsi" w:hAnsiTheme="majorHAnsi"/>
                <w:szCs w:val="21"/>
                <w:u w:val="single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5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鉴定费用及</w:t>
            </w:r>
          </w:p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收取方式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spacing w:line="42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1、鉴定费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元； 2、实验室检查费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元； 3、出诊费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元；</w:t>
            </w:r>
          </w:p>
          <w:p>
            <w:pPr>
              <w:spacing w:line="42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4、会诊费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元； 5、其他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75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预计收费总计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，</w:t>
            </w:r>
          </w:p>
          <w:p>
            <w:pPr>
              <w:spacing w:line="34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人民币大写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75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收取方式：□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汇款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现金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刷卡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支付宝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司法鉴定意见书</w:t>
            </w:r>
          </w:p>
          <w:p>
            <w:pPr>
              <w:spacing w:line="320" w:lineRule="exact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发送方式</w:t>
            </w:r>
          </w:p>
        </w:tc>
        <w:tc>
          <w:tcPr>
            <w:tcW w:w="8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cs="宋体"/>
                <w:kern w:val="0"/>
                <w:sz w:val="20"/>
                <w:szCs w:val="20"/>
              </w:rPr>
              <w:t xml:space="preserve">自取: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cs="宋体"/>
                <w:kern w:val="0"/>
                <w:sz w:val="20"/>
                <w:szCs w:val="20"/>
              </w:rPr>
              <w:t>邮寄地址：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</w:t>
            </w:r>
          </w:p>
          <w:p>
            <w:pPr>
              <w:spacing w:line="3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cs="宋体"/>
                <w:kern w:val="0"/>
                <w:sz w:val="20"/>
                <w:szCs w:val="20"/>
              </w:rPr>
              <w:t>其他方式（说明）: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8" w:hRule="atLeast"/>
        </w:trPr>
        <w:tc>
          <w:tcPr>
            <w:tcW w:w="10105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约定事项：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1.（1）关于鉴定材料：</w:t>
            </w: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5580"/>
              </w:tabs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□所有鉴定材料无需退还；</w:t>
            </w:r>
          </w:p>
          <w:p>
            <w:pPr>
              <w:tabs>
                <w:tab w:val="left" w:pos="5580"/>
              </w:tabs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□鉴定材料必须完整、无损坏地退还委托人；</w:t>
            </w:r>
            <w:r>
              <w:rPr>
                <w:rFonts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□因鉴定需要，鉴定材料可能会损坏，导致无法完整退还。</w:t>
            </w:r>
          </w:p>
          <w:p>
            <w:pPr>
              <w:tabs>
                <w:tab w:val="left" w:pos="5580"/>
              </w:tabs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鉴定完成后鉴定材料耗尽；</w:t>
            </w:r>
          </w:p>
          <w:p>
            <w:pPr>
              <w:spacing w:line="300" w:lineRule="auto"/>
              <w:ind w:firstLine="315" w:firstLineChars="150"/>
              <w:rPr>
                <w:rFonts w:ascii="仿宋" w:hAnsi="仿宋" w:eastAsia="仿宋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□对保管和使用鉴定材料的特殊要求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。</w:t>
            </w:r>
            <w:r>
              <w:rPr>
                <w:rFonts w:hint="eastAsia" w:ascii="仿宋" w:hAnsi="仿宋" w:eastAsia="仿宋"/>
                <w:sz w:val="20"/>
                <w:szCs w:val="20"/>
                <w:u w:val="single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20" w:lineRule="exact"/>
              <w:ind w:firstLine="30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Cs w:val="21"/>
              </w:rPr>
              <w:t>2）关于剩余鉴定材料：</w:t>
            </w:r>
            <w:r>
              <w:rPr>
                <w:rFonts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□委托人于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周内自行取回，委托人未按时取回的，鉴定机构有权自行处理。</w:t>
            </w:r>
          </w:p>
          <w:p>
            <w:pPr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□鉴定机构自行处理。如需要发生处理费的，按有关收费标准或协商收取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元处理费。</w:t>
            </w:r>
          </w:p>
          <w:p>
            <w:pPr>
              <w:spacing w:line="300" w:lineRule="auto"/>
              <w:ind w:firstLine="315" w:firstLineChars="1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□其他方式：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特殊情形鉴定：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损伤程度鉴定应当提供办案机关同意鉴定的文书     □ 需要对被鉴定人进行法医精神病鉴定；</w:t>
            </w:r>
          </w:p>
          <w:p>
            <w:pPr>
              <w:tabs>
                <w:tab w:val="left" w:pos="252"/>
              </w:tabs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需要到现场提取检材；                           □ 需要对女性作妇科检查；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需要进行尸体解剖。                             □ 需要对未成年人的身体进行检查； </w:t>
            </w:r>
          </w:p>
          <w:p>
            <w:pPr>
              <w:tabs>
                <w:tab w:val="left" w:pos="558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鉴定时限：</w:t>
            </w:r>
          </w:p>
          <w:p>
            <w:pPr>
              <w:tabs>
                <w:tab w:val="left" w:pos="5580"/>
              </w:tabs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日之前完成鉴定，提交司法鉴定意见书。</w:t>
            </w:r>
          </w:p>
          <w:p>
            <w:pPr>
              <w:tabs>
                <w:tab w:val="left" w:pos="5580"/>
              </w:tabs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□从该委托书生效之日起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个工作日内完成鉴定，提交司法鉴定意见书。</w:t>
            </w:r>
          </w:p>
          <w:p>
            <w:pPr>
              <w:tabs>
                <w:tab w:val="left" w:pos="252"/>
              </w:tabs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需要补充或者重新提取鉴定材料的，延长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个工作日。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遇复杂、疑难、特殊的技术问题，或者检验过程确需较长时间的，延长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个工作日；</w:t>
            </w:r>
          </w:p>
          <w:p>
            <w:pPr>
              <w:tabs>
                <w:tab w:val="left" w:pos="252"/>
              </w:tabs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注：鉴定过程中补充或者重新提取鉴定材料所需的时间，不计入鉴定时限。</w:t>
            </w:r>
          </w:p>
          <w:p>
            <w:pPr>
              <w:tabs>
                <w:tab w:val="left" w:pos="558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szCs w:val="21"/>
              </w:rPr>
              <w:t>需要回避的鉴定人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，回避事由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tabs>
                <w:tab w:val="left" w:pos="558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4.经双方协商一致，鉴定过程中可变更委托书内容。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5.其他约定事项：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 定 风 险 提 示</w:t>
            </w: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鉴定意见属于专业意见，是否被采信取决于办案机关的审查和判断，鉴定机构无权干涉；</w:t>
            </w:r>
          </w:p>
          <w:p>
            <w:pPr>
              <w:numPr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2.由于鉴定材料或者客观条件限制，并非所有鉴定都能得出明确的鉴定意见；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3.鉴定活动遵循独立、客观、公正的原则，因此，鉴定意见可能对委托人有利，也可能不利；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4.委托人作虚假确认、承诺或提供虚假鉴定材料的，司法鉴定机构可以撤销已出具的司法鉴定意见书。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其他需要说明的事项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委托人（机构）</w:t>
            </w:r>
          </w:p>
          <w:p>
            <w:pPr>
              <w:spacing w:line="380" w:lineRule="exac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（承办人签名或者盖章）</w:t>
            </w:r>
          </w:p>
          <w:p>
            <w:pPr>
              <w:wordWrap w:val="0"/>
              <w:spacing w:line="3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ab/>
            </w:r>
          </w:p>
          <w:p>
            <w:pPr>
              <w:spacing w:line="380" w:lineRule="exact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5695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接受委托的鉴定机构</w:t>
            </w:r>
          </w:p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 xml:space="preserve"> （签名、盖章）</w:t>
            </w:r>
          </w:p>
          <w:p>
            <w:pPr>
              <w:wordWrap w:val="0"/>
              <w:spacing w:line="380" w:lineRule="exact"/>
              <w:jc w:val="right"/>
              <w:rPr>
                <w:rFonts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ind w:right="200"/>
              <w:jc w:val="right"/>
              <w:rPr>
                <w:rFonts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 xml:space="preserve">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471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  <w:r>
      <w:rPr>
        <w:rFonts w:hint="eastAsia"/>
      </w:rPr>
      <w:t xml:space="preserve"> 页    共</w:t>
    </w:r>
    <w:r>
      <w:fldChar w:fldCharType="begin"/>
    </w:r>
    <w:r>
      <w:rPr>
        <w:rStyle w:val="7"/>
      </w:rPr>
      <w:instrText xml:space="preserve"> NUMPAGES </w:instrText>
    </w:r>
    <w:r>
      <w:fldChar w:fldCharType="separate"/>
    </w:r>
    <w:r>
      <w:rPr>
        <w:rStyle w:val="7"/>
      </w:rPr>
      <w:t>2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text" w:horzAnchor="page" w:tblpX="5778" w:tblpY="26"/>
      <w:tblOverlap w:val="never"/>
      <w:tblW w:w="5051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1842"/>
      <w:gridCol w:w="1241"/>
      <w:gridCol w:w="86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9" w:hRule="atLeast"/>
      </w:trPr>
      <w:tc>
        <w:tcPr>
          <w:tcW w:w="1101" w:type="dxa"/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No.编号</w:t>
          </w:r>
        </w:p>
      </w:tc>
      <w:tc>
        <w:tcPr>
          <w:tcW w:w="1842" w:type="dxa"/>
          <w:vAlign w:val="center"/>
        </w:tcPr>
        <w:p>
          <w:pPr>
            <w:jc w:val="center"/>
            <w:rPr>
              <w:rFonts w:ascii="宋体" w:hAnsi="宋体" w:cs="宋体"/>
              <w:color w:val="000000"/>
              <w:sz w:val="20"/>
              <w:szCs w:val="20"/>
            </w:rPr>
          </w:pPr>
          <w:r>
            <w:rPr>
              <w:rFonts w:hint="eastAsia"/>
              <w:color w:val="000000"/>
              <w:sz w:val="20"/>
              <w:szCs w:val="20"/>
            </w:rPr>
            <w:t>CFS-QP012-03BL</w:t>
          </w:r>
        </w:p>
      </w:tc>
      <w:tc>
        <w:tcPr>
          <w:tcW w:w="1241" w:type="dxa"/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Version版本</w:t>
          </w:r>
        </w:p>
      </w:tc>
      <w:tc>
        <w:tcPr>
          <w:tcW w:w="867" w:type="dxa"/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4.0</w:t>
          </w:r>
        </w:p>
      </w:tc>
    </w:tr>
  </w:tbl>
  <w:p>
    <w: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874395</wp:posOffset>
          </wp:positionH>
          <wp:positionV relativeFrom="page">
            <wp:posOffset>492760</wp:posOffset>
          </wp:positionV>
          <wp:extent cx="1449070" cy="379730"/>
          <wp:effectExtent l="19050" t="0" r="0" b="0"/>
          <wp:wrapTight wrapText="bothSides">
            <wp:wrapPolygon>
              <wp:start x="-284" y="0"/>
              <wp:lineTo x="-284" y="20589"/>
              <wp:lineTo x="21581" y="20589"/>
              <wp:lineTo x="21581" y="0"/>
              <wp:lineTo x="-284" y="0"/>
            </wp:wrapPolygon>
          </wp:wrapTight>
          <wp:docPr id="9" name="图片 9" descr="logo千麦司法鉴定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logo千麦司法鉴定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070" cy="37973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  <w:jc w:val="distribute"/>
      <w:rPr>
        <w:rFonts w:ascii="黑体" w:hAnsi="宋体" w:eastAsia="黑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8C67"/>
    <w:multiLevelType w:val="singleLevel"/>
    <w:tmpl w:val="309F8C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E0"/>
    <w:rsid w:val="00001C1C"/>
    <w:rsid w:val="00001EFC"/>
    <w:rsid w:val="00002E1F"/>
    <w:rsid w:val="000032CD"/>
    <w:rsid w:val="00005D6F"/>
    <w:rsid w:val="0001277E"/>
    <w:rsid w:val="000130EE"/>
    <w:rsid w:val="00020962"/>
    <w:rsid w:val="00047EF1"/>
    <w:rsid w:val="000507BC"/>
    <w:rsid w:val="00053D0F"/>
    <w:rsid w:val="0007335A"/>
    <w:rsid w:val="00075018"/>
    <w:rsid w:val="00094959"/>
    <w:rsid w:val="000A1EB8"/>
    <w:rsid w:val="000A21B8"/>
    <w:rsid w:val="000A4077"/>
    <w:rsid w:val="000A6A29"/>
    <w:rsid w:val="000B487D"/>
    <w:rsid w:val="000C45E9"/>
    <w:rsid w:val="000F6892"/>
    <w:rsid w:val="000F78F4"/>
    <w:rsid w:val="00106142"/>
    <w:rsid w:val="00113A76"/>
    <w:rsid w:val="001255C9"/>
    <w:rsid w:val="00127612"/>
    <w:rsid w:val="0014215E"/>
    <w:rsid w:val="001444E8"/>
    <w:rsid w:val="00151F7A"/>
    <w:rsid w:val="00154F73"/>
    <w:rsid w:val="0015588C"/>
    <w:rsid w:val="0016316B"/>
    <w:rsid w:val="0016720A"/>
    <w:rsid w:val="00172A27"/>
    <w:rsid w:val="00176BAF"/>
    <w:rsid w:val="00190D5D"/>
    <w:rsid w:val="001B5269"/>
    <w:rsid w:val="001C1415"/>
    <w:rsid w:val="001C376F"/>
    <w:rsid w:val="001D3B97"/>
    <w:rsid w:val="001D563A"/>
    <w:rsid w:val="001D5D8D"/>
    <w:rsid w:val="001E00D8"/>
    <w:rsid w:val="001E4B86"/>
    <w:rsid w:val="001E55C8"/>
    <w:rsid w:val="001F0BAD"/>
    <w:rsid w:val="001F147F"/>
    <w:rsid w:val="001F4867"/>
    <w:rsid w:val="001F79D0"/>
    <w:rsid w:val="00212868"/>
    <w:rsid w:val="00213CB5"/>
    <w:rsid w:val="00214AB0"/>
    <w:rsid w:val="002306EB"/>
    <w:rsid w:val="00267CCF"/>
    <w:rsid w:val="00270215"/>
    <w:rsid w:val="002719D0"/>
    <w:rsid w:val="002A1E2F"/>
    <w:rsid w:val="002A4ED4"/>
    <w:rsid w:val="002A68F1"/>
    <w:rsid w:val="002D6E17"/>
    <w:rsid w:val="002E3948"/>
    <w:rsid w:val="002E4FF4"/>
    <w:rsid w:val="00310D20"/>
    <w:rsid w:val="0031670D"/>
    <w:rsid w:val="00323547"/>
    <w:rsid w:val="00333E32"/>
    <w:rsid w:val="00346DA5"/>
    <w:rsid w:val="00355945"/>
    <w:rsid w:val="00360550"/>
    <w:rsid w:val="00364DE9"/>
    <w:rsid w:val="003808AA"/>
    <w:rsid w:val="00380D2B"/>
    <w:rsid w:val="003A63E4"/>
    <w:rsid w:val="003B17B9"/>
    <w:rsid w:val="003B7C84"/>
    <w:rsid w:val="003C5B8B"/>
    <w:rsid w:val="003D3FA1"/>
    <w:rsid w:val="003D466B"/>
    <w:rsid w:val="003E341C"/>
    <w:rsid w:val="003E7704"/>
    <w:rsid w:val="004001CE"/>
    <w:rsid w:val="0040646D"/>
    <w:rsid w:val="00412860"/>
    <w:rsid w:val="00432B0D"/>
    <w:rsid w:val="0044131C"/>
    <w:rsid w:val="00451EC1"/>
    <w:rsid w:val="00467290"/>
    <w:rsid w:val="004755A5"/>
    <w:rsid w:val="0048729E"/>
    <w:rsid w:val="00490DC5"/>
    <w:rsid w:val="004A5DE2"/>
    <w:rsid w:val="004D4604"/>
    <w:rsid w:val="004F18A2"/>
    <w:rsid w:val="004F2DCE"/>
    <w:rsid w:val="004F6BEF"/>
    <w:rsid w:val="005041C5"/>
    <w:rsid w:val="00507B36"/>
    <w:rsid w:val="00515A24"/>
    <w:rsid w:val="00525570"/>
    <w:rsid w:val="005332FA"/>
    <w:rsid w:val="005365CD"/>
    <w:rsid w:val="00544B7D"/>
    <w:rsid w:val="005574B3"/>
    <w:rsid w:val="0056185F"/>
    <w:rsid w:val="0057057E"/>
    <w:rsid w:val="00575417"/>
    <w:rsid w:val="005824AB"/>
    <w:rsid w:val="00586127"/>
    <w:rsid w:val="00587466"/>
    <w:rsid w:val="00587CC4"/>
    <w:rsid w:val="00594DF9"/>
    <w:rsid w:val="00596358"/>
    <w:rsid w:val="005B4125"/>
    <w:rsid w:val="005B52D8"/>
    <w:rsid w:val="005E2373"/>
    <w:rsid w:val="005F2D3A"/>
    <w:rsid w:val="005F6735"/>
    <w:rsid w:val="00606846"/>
    <w:rsid w:val="00612238"/>
    <w:rsid w:val="00626EAC"/>
    <w:rsid w:val="006337CB"/>
    <w:rsid w:val="0065034C"/>
    <w:rsid w:val="00652A85"/>
    <w:rsid w:val="006544AE"/>
    <w:rsid w:val="00657E70"/>
    <w:rsid w:val="00662505"/>
    <w:rsid w:val="0067441A"/>
    <w:rsid w:val="0067578F"/>
    <w:rsid w:val="006800EC"/>
    <w:rsid w:val="006802FD"/>
    <w:rsid w:val="00685090"/>
    <w:rsid w:val="00694EC6"/>
    <w:rsid w:val="006963AF"/>
    <w:rsid w:val="006A18F3"/>
    <w:rsid w:val="006A43DA"/>
    <w:rsid w:val="006B3EDE"/>
    <w:rsid w:val="006C0C59"/>
    <w:rsid w:val="006C4707"/>
    <w:rsid w:val="006C52C5"/>
    <w:rsid w:val="006C66C2"/>
    <w:rsid w:val="006D1423"/>
    <w:rsid w:val="006D4723"/>
    <w:rsid w:val="006E4636"/>
    <w:rsid w:val="006F2DAC"/>
    <w:rsid w:val="00702E72"/>
    <w:rsid w:val="00713020"/>
    <w:rsid w:val="00723CFE"/>
    <w:rsid w:val="00723F33"/>
    <w:rsid w:val="00731BC6"/>
    <w:rsid w:val="00731E76"/>
    <w:rsid w:val="007472D7"/>
    <w:rsid w:val="0075405B"/>
    <w:rsid w:val="00756BBB"/>
    <w:rsid w:val="0076087F"/>
    <w:rsid w:val="00773895"/>
    <w:rsid w:val="007826B4"/>
    <w:rsid w:val="0078371B"/>
    <w:rsid w:val="00790E09"/>
    <w:rsid w:val="00797B4D"/>
    <w:rsid w:val="007A0FC0"/>
    <w:rsid w:val="007A4B68"/>
    <w:rsid w:val="007B4733"/>
    <w:rsid w:val="007C6D13"/>
    <w:rsid w:val="007E4C0D"/>
    <w:rsid w:val="007F0851"/>
    <w:rsid w:val="007F38A8"/>
    <w:rsid w:val="007F3E06"/>
    <w:rsid w:val="008056C7"/>
    <w:rsid w:val="008072C8"/>
    <w:rsid w:val="008254CF"/>
    <w:rsid w:val="00831A1E"/>
    <w:rsid w:val="00834A6C"/>
    <w:rsid w:val="00854FA2"/>
    <w:rsid w:val="0088094A"/>
    <w:rsid w:val="00882343"/>
    <w:rsid w:val="008A352F"/>
    <w:rsid w:val="008A3D6F"/>
    <w:rsid w:val="008B269A"/>
    <w:rsid w:val="008B2D34"/>
    <w:rsid w:val="008B30B8"/>
    <w:rsid w:val="008C1416"/>
    <w:rsid w:val="008C5CA1"/>
    <w:rsid w:val="008E2208"/>
    <w:rsid w:val="008F5678"/>
    <w:rsid w:val="009022A8"/>
    <w:rsid w:val="00903EDD"/>
    <w:rsid w:val="00904959"/>
    <w:rsid w:val="0091522A"/>
    <w:rsid w:val="00922126"/>
    <w:rsid w:val="0093244D"/>
    <w:rsid w:val="009331F3"/>
    <w:rsid w:val="00961DF9"/>
    <w:rsid w:val="009721EE"/>
    <w:rsid w:val="009966B8"/>
    <w:rsid w:val="00997732"/>
    <w:rsid w:val="009C176F"/>
    <w:rsid w:val="009D20BB"/>
    <w:rsid w:val="009E129C"/>
    <w:rsid w:val="009E271F"/>
    <w:rsid w:val="009F6353"/>
    <w:rsid w:val="00A0342A"/>
    <w:rsid w:val="00A04BB1"/>
    <w:rsid w:val="00A04FFB"/>
    <w:rsid w:val="00A1111D"/>
    <w:rsid w:val="00A1440A"/>
    <w:rsid w:val="00A14D76"/>
    <w:rsid w:val="00A242AB"/>
    <w:rsid w:val="00A31B57"/>
    <w:rsid w:val="00A32215"/>
    <w:rsid w:val="00A35785"/>
    <w:rsid w:val="00A404F8"/>
    <w:rsid w:val="00A42384"/>
    <w:rsid w:val="00A46F7B"/>
    <w:rsid w:val="00A5003F"/>
    <w:rsid w:val="00A52432"/>
    <w:rsid w:val="00A629CB"/>
    <w:rsid w:val="00A77469"/>
    <w:rsid w:val="00A860E7"/>
    <w:rsid w:val="00A8799A"/>
    <w:rsid w:val="00A90743"/>
    <w:rsid w:val="00A91134"/>
    <w:rsid w:val="00A95BC6"/>
    <w:rsid w:val="00AA145F"/>
    <w:rsid w:val="00AA3559"/>
    <w:rsid w:val="00AC51BF"/>
    <w:rsid w:val="00AD1793"/>
    <w:rsid w:val="00AD5B95"/>
    <w:rsid w:val="00AD6375"/>
    <w:rsid w:val="00AE0B8C"/>
    <w:rsid w:val="00AE2C8F"/>
    <w:rsid w:val="00AF0A8A"/>
    <w:rsid w:val="00AF13A7"/>
    <w:rsid w:val="00AF31F2"/>
    <w:rsid w:val="00AF4BAC"/>
    <w:rsid w:val="00B00626"/>
    <w:rsid w:val="00B01D5B"/>
    <w:rsid w:val="00B067AA"/>
    <w:rsid w:val="00B077A8"/>
    <w:rsid w:val="00B36E86"/>
    <w:rsid w:val="00B56694"/>
    <w:rsid w:val="00B6098E"/>
    <w:rsid w:val="00B62BE9"/>
    <w:rsid w:val="00B666C5"/>
    <w:rsid w:val="00B6750E"/>
    <w:rsid w:val="00B706A3"/>
    <w:rsid w:val="00B72F39"/>
    <w:rsid w:val="00BA3042"/>
    <w:rsid w:val="00BA7021"/>
    <w:rsid w:val="00BA7125"/>
    <w:rsid w:val="00BB3702"/>
    <w:rsid w:val="00BB3BFC"/>
    <w:rsid w:val="00BD30E0"/>
    <w:rsid w:val="00BD5A21"/>
    <w:rsid w:val="00BD728B"/>
    <w:rsid w:val="00BE0A76"/>
    <w:rsid w:val="00BF64AC"/>
    <w:rsid w:val="00BF697E"/>
    <w:rsid w:val="00BF7CAA"/>
    <w:rsid w:val="00C0569D"/>
    <w:rsid w:val="00C07ED9"/>
    <w:rsid w:val="00C13664"/>
    <w:rsid w:val="00C16B0B"/>
    <w:rsid w:val="00C33B6C"/>
    <w:rsid w:val="00C344D3"/>
    <w:rsid w:val="00C353DA"/>
    <w:rsid w:val="00C3615D"/>
    <w:rsid w:val="00C372C0"/>
    <w:rsid w:val="00C45D14"/>
    <w:rsid w:val="00C550B0"/>
    <w:rsid w:val="00C62624"/>
    <w:rsid w:val="00C9606A"/>
    <w:rsid w:val="00CA5B09"/>
    <w:rsid w:val="00CB0793"/>
    <w:rsid w:val="00CB17ED"/>
    <w:rsid w:val="00CB5CFE"/>
    <w:rsid w:val="00CC3F4F"/>
    <w:rsid w:val="00CC4EB8"/>
    <w:rsid w:val="00CC50ED"/>
    <w:rsid w:val="00CC55D0"/>
    <w:rsid w:val="00D05CEB"/>
    <w:rsid w:val="00D074F7"/>
    <w:rsid w:val="00D10E0B"/>
    <w:rsid w:val="00D1342F"/>
    <w:rsid w:val="00D13B8D"/>
    <w:rsid w:val="00D225F7"/>
    <w:rsid w:val="00D24AF2"/>
    <w:rsid w:val="00D318FB"/>
    <w:rsid w:val="00D34A70"/>
    <w:rsid w:val="00D37B9A"/>
    <w:rsid w:val="00D47656"/>
    <w:rsid w:val="00D5486D"/>
    <w:rsid w:val="00D6326C"/>
    <w:rsid w:val="00D73DFC"/>
    <w:rsid w:val="00D750CD"/>
    <w:rsid w:val="00D830F0"/>
    <w:rsid w:val="00D90140"/>
    <w:rsid w:val="00D91AA3"/>
    <w:rsid w:val="00DA0659"/>
    <w:rsid w:val="00DA510E"/>
    <w:rsid w:val="00DB39EF"/>
    <w:rsid w:val="00DB612E"/>
    <w:rsid w:val="00DC5D1D"/>
    <w:rsid w:val="00DC7E38"/>
    <w:rsid w:val="00DD1261"/>
    <w:rsid w:val="00DD5EEB"/>
    <w:rsid w:val="00DE4A8E"/>
    <w:rsid w:val="00DE630A"/>
    <w:rsid w:val="00DF3160"/>
    <w:rsid w:val="00DF5A7D"/>
    <w:rsid w:val="00E0069F"/>
    <w:rsid w:val="00E059CE"/>
    <w:rsid w:val="00E075B9"/>
    <w:rsid w:val="00E324AD"/>
    <w:rsid w:val="00E357A8"/>
    <w:rsid w:val="00E3646A"/>
    <w:rsid w:val="00E413F5"/>
    <w:rsid w:val="00E42005"/>
    <w:rsid w:val="00E467F7"/>
    <w:rsid w:val="00E52459"/>
    <w:rsid w:val="00E57111"/>
    <w:rsid w:val="00E6414D"/>
    <w:rsid w:val="00E667D5"/>
    <w:rsid w:val="00E702A8"/>
    <w:rsid w:val="00E83D11"/>
    <w:rsid w:val="00E92159"/>
    <w:rsid w:val="00E950EF"/>
    <w:rsid w:val="00EA6627"/>
    <w:rsid w:val="00EB0378"/>
    <w:rsid w:val="00EB38DA"/>
    <w:rsid w:val="00EC2852"/>
    <w:rsid w:val="00ED16E9"/>
    <w:rsid w:val="00ED6530"/>
    <w:rsid w:val="00EE1D33"/>
    <w:rsid w:val="00F0325A"/>
    <w:rsid w:val="00F06871"/>
    <w:rsid w:val="00F13490"/>
    <w:rsid w:val="00F205CC"/>
    <w:rsid w:val="00F2214E"/>
    <w:rsid w:val="00F261FB"/>
    <w:rsid w:val="00F62025"/>
    <w:rsid w:val="00F62EB3"/>
    <w:rsid w:val="00F67C77"/>
    <w:rsid w:val="00F73B62"/>
    <w:rsid w:val="00F74EA8"/>
    <w:rsid w:val="00F82CBD"/>
    <w:rsid w:val="00F86C12"/>
    <w:rsid w:val="00FA1669"/>
    <w:rsid w:val="00FA297A"/>
    <w:rsid w:val="00FB639D"/>
    <w:rsid w:val="00FD101F"/>
    <w:rsid w:val="00FD6BE0"/>
    <w:rsid w:val="00FE0F1C"/>
    <w:rsid w:val="00FE5698"/>
    <w:rsid w:val="00FE58A6"/>
    <w:rsid w:val="08CB1B9C"/>
    <w:rsid w:val="09D125EB"/>
    <w:rsid w:val="0A321E21"/>
    <w:rsid w:val="0B7767E2"/>
    <w:rsid w:val="1E4929B2"/>
    <w:rsid w:val="1F3F7D66"/>
    <w:rsid w:val="2E2F2597"/>
    <w:rsid w:val="49691820"/>
    <w:rsid w:val="4A3A1802"/>
    <w:rsid w:val="4D0648EF"/>
    <w:rsid w:val="4EA36B56"/>
    <w:rsid w:val="51BA0AE6"/>
    <w:rsid w:val="51BA1636"/>
    <w:rsid w:val="593C6944"/>
    <w:rsid w:val="5A471780"/>
    <w:rsid w:val="5B8843C2"/>
    <w:rsid w:val="65E01A4C"/>
    <w:rsid w:val="7B9E1EEE"/>
    <w:rsid w:val="7D474984"/>
    <w:rsid w:val="7D725A65"/>
    <w:rsid w:val="7E5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不明显强调1"/>
    <w:qFormat/>
    <w:uiPriority w:val="19"/>
    <w:rPr>
      <w:i/>
      <w:iCs/>
      <w:color w:val="808080"/>
    </w:rPr>
  </w:style>
  <w:style w:type="character" w:customStyle="1" w:styleId="11">
    <w:name w:val="menuiconhover"/>
    <w:basedOn w:val="6"/>
    <w:qFormat/>
    <w:uiPriority w:val="0"/>
  </w:style>
  <w:style w:type="character" w:customStyle="1" w:styleId="12">
    <w:name w:val="menuicon"/>
    <w:basedOn w:val="6"/>
    <w:qFormat/>
    <w:uiPriority w:val="0"/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浙江千麦司法鉴定中心</Company>
  <Pages>2</Pages>
  <Words>320</Words>
  <Characters>1824</Characters>
  <Lines>15</Lines>
  <Paragraphs>4</Paragraphs>
  <TotalTime>0</TotalTime>
  <ScaleCrop>false</ScaleCrop>
  <LinksUpToDate>false</LinksUpToDate>
  <CharactersWithSpaces>2140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2017-07-14T03:21:00Z</dcterms:created>
  <dc:creator>潘豪杰</dc:creator>
  <cp:lastModifiedBy>hp</cp:lastModifiedBy>
  <cp:lastPrinted>2017-12-20T03:49:00Z</cp:lastPrinted>
  <dcterms:modified xsi:type="dcterms:W3CDTF">2019-01-09T06:12:20Z</dcterms:modified>
  <dc:title>重新采样申请单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